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3A2AAB32" w:rsidR="001D2A0C" w:rsidRPr="00DC3F93" w:rsidRDefault="00B32BCB" w:rsidP="00426C14">
      <w:pPr>
        <w:pStyle w:val="Title"/>
        <w:rPr>
          <w:rFonts w:cs="Calibri"/>
          <w:szCs w:val="52"/>
        </w:rPr>
      </w:pPr>
      <w:r w:rsidRPr="00DC3F93">
        <w:rPr>
          <w:rFonts w:cs="Calibri"/>
          <w:szCs w:val="52"/>
        </w:rPr>
        <w:t>Military &amp; Veterans Services</w:t>
      </w:r>
    </w:p>
    <w:p w14:paraId="00124433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DC3F9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NOV 6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7CF02A3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DC3F9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DC3F9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Military &amp; Veterans Services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BA50434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49F0FF7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DC3F9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“These guys saved my life.”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5343EBD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057A17D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CDB2788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Military &amp; Veterans Services.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E884E32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E2C9A12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“These guys saved my life.”</w:t>
      </w:r>
      <w:r w:rsidRPr="00DC3F93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401F9070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John is 74 years old – a Vietnam Army vet whose wife died four years ago, leaving him heartbroken. That began to change the day he visited a CFC-participating animal sanctuary and stared into the eyes of a horse that had been traumatized by previous neglect and abuse. 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5F4E1BF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E8513AE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“You can’t hide your emotions from them. Their own past suffering seems to make them more in tune with people suffering from trauma,” John recounts. “I can’t explain it, but I can tell you, these guys saved my life.”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250FC5E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7EE42E4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Equine therapy programs like this one feature exercises designed to build trust and confidence while healing broken hearts and reckoning with combat-related trauma and other issues. 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A890D22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6C995E9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Charities can offer these services free of charge to veterans and their families thanks to support from donors like us, who give through the CFC.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E88ED34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2600AA66" w14:textId="764BB940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Thank our military heroes and their families for their service.</w:t>
      </w: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hyperlink r:id="rId11" w:history="1">
        <w:r w:rsidRPr="00CD5AAE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DC3F9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</w:rPr>
        <w:t>.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295E1FA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B0ADBE8" w14:textId="04F1A88A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Learn more about </w:t>
      </w:r>
      <w:hyperlink r:id="rId12" w:history="1">
        <w:r w:rsidRPr="00CD5AAE">
          <w:rPr>
            <w:rStyle w:val="Hyperlink"/>
            <w:rFonts w:ascii="Source Sans Pro" w:hAnsi="Source Sans Pro" w:cs="Segoe UI"/>
            <w:bCs/>
            <w:sz w:val="22"/>
            <w:szCs w:val="22"/>
          </w:rPr>
          <w:t>Military &amp; Veterans Services</w:t>
        </w:r>
      </w:hyperlink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and visit the </w:t>
      </w:r>
      <w:hyperlink r:id="rId13" w:history="1">
        <w:r w:rsidRPr="00CD5AAE">
          <w:rPr>
            <w:rStyle w:val="Hyperlink"/>
            <w:rFonts w:ascii="Source Sans Pro" w:hAnsi="Source Sans Pro" w:cs="Segoe UI"/>
            <w:bCs/>
            <w:sz w:val="22"/>
            <w:szCs w:val="22"/>
          </w:rPr>
          <w:t>Virtual Charity Fair</w:t>
        </w:r>
      </w:hyperlink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 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AA333F0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20C7B2B" w14:textId="77777777" w:rsidR="00B32BCB" w:rsidRPr="00DC3F93" w:rsidRDefault="00B32BCB" w:rsidP="00B32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DC3F9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 great way to celebrate Veterans Day this week is by making a gift through the CFC.</w:t>
      </w:r>
      <w:r w:rsidRPr="00DC3F9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DC3F93" w:rsidRDefault="00426C14" w:rsidP="001D2A0C"/>
    <w:sectPr w:rsidR="00426C14" w:rsidRPr="00DC3F93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E5E8" w14:textId="77777777" w:rsidR="00076958" w:rsidRDefault="00076958" w:rsidP="00525B25">
      <w:r>
        <w:separator/>
      </w:r>
    </w:p>
  </w:endnote>
  <w:endnote w:type="continuationSeparator" w:id="0">
    <w:p w14:paraId="1FF9FBD7" w14:textId="77777777" w:rsidR="00076958" w:rsidRDefault="00076958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9DC5" w14:textId="77777777" w:rsidR="00076958" w:rsidRDefault="00076958" w:rsidP="00525B25">
      <w:r>
        <w:separator/>
      </w:r>
    </w:p>
  </w:footnote>
  <w:footnote w:type="continuationSeparator" w:id="0">
    <w:p w14:paraId="098D56B7" w14:textId="77777777" w:rsidR="00076958" w:rsidRDefault="00076958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76958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E4583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9F5BB2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29B5"/>
    <w:rsid w:val="00AA743C"/>
    <w:rsid w:val="00AB3493"/>
    <w:rsid w:val="00AC09B8"/>
    <w:rsid w:val="00AE24D9"/>
    <w:rsid w:val="00AF6BD2"/>
    <w:rsid w:val="00B1028A"/>
    <w:rsid w:val="00B118F3"/>
    <w:rsid w:val="00B260BA"/>
    <w:rsid w:val="00B32BCB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D5AAE"/>
    <w:rsid w:val="00CF26D1"/>
    <w:rsid w:val="00D1531B"/>
    <w:rsid w:val="00D25EA4"/>
    <w:rsid w:val="00DB1F82"/>
    <w:rsid w:val="00DC257E"/>
    <w:rsid w:val="00DC3F93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CD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108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milit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2023-09-13T12:20:00Z</dcterms:created>
  <dcterms:modified xsi:type="dcterms:W3CDTF">2023-09-13T12:21:00Z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